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60" w:before="260" w:line="342.85714285714283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Negativní vymezení cílové skupiny – komu nemůžeme služby sociálně terapeutických dílen poskytnout: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16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lidem vyžadujícím neustálý individuální dohled ze strany pracovníka sociálně terapeutických dílen (potřeba osobní asistence, lidé s vysokou mírou závislosti na péči druhé osoby) a to z důvodu personálního zajištění služby, bezpečnosti a rovného přístupu ke všem uživatelům: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pacing w:after="0" w:afterAutospacing="0" w:before="0" w:beforeAutospacing="0" w:lineRule="auto"/>
        <w:ind w:left="2760" w:hanging="360"/>
      </w:pPr>
      <w:r w:rsidDel="00000000" w:rsidR="00000000" w:rsidRPr="00000000">
        <w:rPr>
          <w:sz w:val="21"/>
          <w:szCs w:val="21"/>
          <w:rtl w:val="0"/>
        </w:rPr>
        <w:t xml:space="preserve">při úkonech osobní hygieny (př. užití toalety, výměna či užití inkontinenčních a hygienických pomůcek),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pacing w:after="0" w:afterAutospacing="0" w:before="0" w:beforeAutospacing="0" w:lineRule="auto"/>
        <w:ind w:left="2760" w:hanging="360"/>
      </w:pPr>
      <w:r w:rsidDel="00000000" w:rsidR="00000000" w:rsidRPr="00000000">
        <w:rPr>
          <w:sz w:val="21"/>
          <w:szCs w:val="21"/>
          <w:rtl w:val="0"/>
        </w:rPr>
        <w:t xml:space="preserve">při úkonech poskytování stravy,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pacing w:after="0" w:afterAutospacing="0" w:before="0" w:beforeAutospacing="0" w:lineRule="auto"/>
        <w:ind w:left="2760" w:hanging="360"/>
      </w:pPr>
      <w:r w:rsidDel="00000000" w:rsidR="00000000" w:rsidRPr="00000000">
        <w:rPr>
          <w:sz w:val="21"/>
          <w:szCs w:val="21"/>
          <w:rtl w:val="0"/>
        </w:rPr>
        <w:t xml:space="preserve">v běžných činnostech a aktivitách (př. oblast soběstačnosti – sebeobsluhy),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pacing w:after="0" w:afterAutospacing="0" w:before="0" w:beforeAutospacing="0" w:lineRule="auto"/>
        <w:ind w:left="2760" w:hanging="360"/>
      </w:pPr>
      <w:r w:rsidDel="00000000" w:rsidR="00000000" w:rsidRPr="00000000">
        <w:rPr>
          <w:sz w:val="21"/>
          <w:szCs w:val="21"/>
          <w:rtl w:val="0"/>
        </w:rPr>
        <w:t xml:space="preserve">v pracovních činnostech a aktivitách,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pacing w:after="0" w:afterAutospacing="0" w:before="0" w:beforeAutospacing="0" w:lineRule="auto"/>
        <w:ind w:left="2760" w:hanging="360"/>
      </w:pPr>
      <w:r w:rsidDel="00000000" w:rsidR="00000000" w:rsidRPr="00000000">
        <w:rPr>
          <w:sz w:val="21"/>
          <w:szCs w:val="21"/>
          <w:rtl w:val="0"/>
        </w:rPr>
        <w:t xml:space="preserve">v oblasti pracovních schopností a návyků, sociálních schopností, návyků a dovedností, motorických a psychických schopností a dovedností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lidem, kteří jsou aktuálně umístěni na chráněném nebo otevřeném trhu práce,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lidem, jejichž zdravotní stav vyžaduje ošetřovatelskou péči (nelze zajistit prostřednictvím zaměstnanců sociální služby),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lidem s akutním infekčním onemocněním,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lidem, jejichž chování narušuje kolektivní soužití (např.: prokazatelné agresivní chování - vůči sobě či svému okolí, ničení majetku, hrubé narušování mezilidských vztahů, nerespektování vnitřních pravidel),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a ze zákonných důvodů: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pacing w:after="0" w:afterAutospacing="0" w:before="0" w:beforeAutospacing="0" w:lineRule="auto"/>
        <w:ind w:left="2760" w:hanging="360"/>
      </w:pPr>
      <w:r w:rsidDel="00000000" w:rsidR="00000000" w:rsidRPr="00000000">
        <w:rPr>
          <w:sz w:val="21"/>
          <w:szCs w:val="21"/>
          <w:rtl w:val="0"/>
        </w:rPr>
        <w:t xml:space="preserve">poskytovatel neposkytuje sociální službu, o kterou zájemce žádá,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pacing w:after="0" w:afterAutospacing="0" w:before="0" w:beforeAutospacing="0" w:lineRule="auto"/>
        <w:ind w:left="2760" w:hanging="360"/>
      </w:pPr>
      <w:r w:rsidDel="00000000" w:rsidR="00000000" w:rsidRPr="00000000">
        <w:rPr>
          <w:sz w:val="21"/>
          <w:szCs w:val="21"/>
          <w:rtl w:val="0"/>
        </w:rPr>
        <w:t xml:space="preserve">poskytovatel nemá dostatečnou kapacitu,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pacing w:after="320" w:before="0" w:beforeAutospacing="0" w:lineRule="auto"/>
        <w:ind w:left="2760" w:hanging="360"/>
      </w:pPr>
      <w:r w:rsidDel="00000000" w:rsidR="00000000" w:rsidRPr="00000000">
        <w:rPr>
          <w:sz w:val="21"/>
          <w:szCs w:val="21"/>
          <w:rtl w:val="0"/>
        </w:rPr>
        <w:t xml:space="preserve">osobě, která žádá o poskytnutí sociální služby, vypověděl poskytovatel v době kratší než 6 měsíců před touto žádostí smlouvu o poskytnutí téže sociální služby z důvodu porušování povinností vyplývajících ze smlouvy.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